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92" w:rsidRDefault="00C02692">
      <w:pPr>
        <w:jc w:val="center"/>
        <w:rPr>
          <w:rFonts w:ascii="TmsRmn" w:hAnsi="TmsRmn"/>
          <w:b/>
          <w:color w:val="000000"/>
          <w:sz w:val="32"/>
        </w:rPr>
      </w:pPr>
      <w:bookmarkStart w:id="0" w:name="_GoBack"/>
      <w:bookmarkEnd w:id="0"/>
      <w:r>
        <w:rPr>
          <w:rFonts w:ascii="TmsRmn" w:hAnsi="TmsRmn"/>
          <w:b/>
          <w:color w:val="000000"/>
          <w:sz w:val="32"/>
        </w:rPr>
        <w:t>Most Important Items That Advisors Should Know</w:t>
      </w:r>
    </w:p>
    <w:p w:rsidR="00C02692" w:rsidRDefault="00C02692">
      <w:pPr>
        <w:jc w:val="center"/>
        <w:rPr>
          <w:rFonts w:ascii="TmsRmn" w:hAnsi="TmsRmn"/>
          <w:b/>
          <w:color w:val="000000"/>
          <w:sz w:val="32"/>
        </w:rPr>
      </w:pPr>
      <w:r>
        <w:rPr>
          <w:rFonts w:ascii="TmsRmn" w:hAnsi="TmsRmn"/>
          <w:b/>
          <w:color w:val="000000"/>
          <w:sz w:val="32"/>
        </w:rPr>
        <w:t>About Office of the Registrar</w:t>
      </w:r>
    </w:p>
    <w:p w:rsidR="00C02692" w:rsidRDefault="00C02692">
      <w:pPr>
        <w:jc w:val="center"/>
        <w:rPr>
          <w:rFonts w:ascii="TmsRmn" w:hAnsi="TmsRmn"/>
          <w:b/>
          <w:color w:val="000000"/>
          <w:sz w:val="32"/>
        </w:rPr>
      </w:pPr>
      <w:r>
        <w:rPr>
          <w:rFonts w:ascii="TmsRmn" w:hAnsi="TmsRmn"/>
          <w:b/>
          <w:color w:val="000000"/>
          <w:sz w:val="32"/>
        </w:rPr>
        <w:t>Scheduling &amp; Publications Unit</w:t>
      </w:r>
    </w:p>
    <w:p w:rsidR="00C02692" w:rsidRDefault="00C02692">
      <w:pPr>
        <w:jc w:val="center"/>
        <w:rPr>
          <w:rFonts w:ascii="TmsRmn" w:hAnsi="TmsRmn"/>
          <w:b/>
          <w:color w:val="000000"/>
          <w:sz w:val="32"/>
        </w:rPr>
      </w:pPr>
    </w:p>
    <w:p w:rsidR="00C02692" w:rsidRDefault="00C02692">
      <w:pPr>
        <w:jc w:val="center"/>
        <w:rPr>
          <w:rFonts w:ascii="TmsRmn" w:hAnsi="TmsRmn"/>
          <w:b/>
          <w:color w:val="000000"/>
          <w:sz w:val="32"/>
        </w:rPr>
      </w:pPr>
    </w:p>
    <w:p w:rsidR="00C02692" w:rsidRDefault="00C02692">
      <w:pPr>
        <w:rPr>
          <w:rFonts w:ascii="TmsRmn" w:hAnsi="TmsRmn"/>
          <w:b/>
          <w:color w:val="000000"/>
        </w:rPr>
      </w:pPr>
      <w:r>
        <w:rPr>
          <w:rFonts w:ascii="TmsRmn" w:hAnsi="TmsRmn"/>
          <w:b/>
          <w:color w:val="000000"/>
        </w:rPr>
        <w:t>Scheduling Unit</w:t>
      </w:r>
    </w:p>
    <w:p w:rsidR="00C02692" w:rsidRDefault="00C02692">
      <w:pPr>
        <w:numPr>
          <w:ilvl w:val="0"/>
          <w:numId w:val="6"/>
        </w:numPr>
        <w:rPr>
          <w:rFonts w:ascii="TmsRmn" w:hAnsi="TmsRmn"/>
          <w:b/>
          <w:color w:val="000000"/>
        </w:rPr>
      </w:pPr>
      <w:r>
        <w:rPr>
          <w:rFonts w:ascii="TmsRmn" w:hAnsi="TmsRmn"/>
          <w:b/>
          <w:color w:val="000000"/>
        </w:rPr>
        <w:t>Proofs</w:t>
      </w:r>
    </w:p>
    <w:p w:rsidR="00C02692" w:rsidRDefault="00C02692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Three distinct levels of proofing for quarterly scheduling of classes.</w:t>
      </w:r>
    </w:p>
    <w:p w:rsidR="00C02692" w:rsidRDefault="00C02692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Proofs include:</w:t>
      </w:r>
      <w:r>
        <w:rPr>
          <w:rFonts w:ascii="TmsRmn" w:hAnsi="TmsRmn"/>
          <w:color w:val="000000"/>
        </w:rPr>
        <w:tab/>
      </w:r>
    </w:p>
    <w:p w:rsidR="00C02692" w:rsidRDefault="00C02692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Days/times/classrooms for all courses</w:t>
      </w:r>
    </w:p>
    <w:p w:rsidR="00C02692" w:rsidRDefault="00C02692">
      <w:pPr>
        <w:numPr>
          <w:ilvl w:val="0"/>
          <w:numId w:val="16"/>
        </w:numPr>
        <w:tabs>
          <w:tab w:val="clear" w:pos="360"/>
          <w:tab w:val="num" w:pos="1800"/>
        </w:tabs>
        <w:ind w:left="180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Registration information and restrictions</w:t>
      </w:r>
    </w:p>
    <w:p w:rsidR="00C02692" w:rsidRDefault="00C02692">
      <w:pPr>
        <w:rPr>
          <w:rFonts w:ascii="TmsRmn" w:hAnsi="TmsRmn"/>
          <w:b/>
          <w:color w:val="000000"/>
        </w:rPr>
      </w:pPr>
    </w:p>
    <w:p w:rsidR="00C02692" w:rsidRDefault="00C02692">
      <w:pPr>
        <w:numPr>
          <w:ilvl w:val="0"/>
          <w:numId w:val="17"/>
        </w:numPr>
        <w:rPr>
          <w:rFonts w:ascii="TmsRmn" w:hAnsi="TmsRmn"/>
          <w:b/>
          <w:color w:val="000000"/>
        </w:rPr>
      </w:pPr>
      <w:r>
        <w:rPr>
          <w:rFonts w:ascii="TmsRmn" w:hAnsi="TmsRmn"/>
          <w:b/>
          <w:color w:val="000000"/>
        </w:rPr>
        <w:t>SAF (Schedule Alteration Form)</w:t>
      </w:r>
    </w:p>
    <w:p w:rsidR="00C02692" w:rsidRDefault="00C026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 xml:space="preserve">Used </w:t>
      </w:r>
      <w:r w:rsidR="00917463">
        <w:rPr>
          <w:rFonts w:ascii="TmsRmn" w:hAnsi="TmsRmn"/>
          <w:color w:val="000000"/>
        </w:rPr>
        <w:t>once registration has started to</w:t>
      </w:r>
      <w:r>
        <w:rPr>
          <w:rFonts w:ascii="TmsRmn" w:hAnsi="TmsRmn"/>
          <w:color w:val="000000"/>
        </w:rPr>
        <w:t xml:space="preserve"> make any additions/changes to courses.</w:t>
      </w:r>
    </w:p>
    <w:p w:rsidR="00C02692" w:rsidRDefault="00C026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Approval of the Department Chair and Dean of the College for cancellations and changes in days/time.</w:t>
      </w:r>
    </w:p>
    <w:p w:rsidR="00C02692" w:rsidRDefault="00C02692">
      <w:pPr>
        <w:rPr>
          <w:rFonts w:ascii="TmsRmn" w:hAnsi="TmsRmn"/>
          <w:color w:val="000000"/>
        </w:rPr>
      </w:pPr>
    </w:p>
    <w:p w:rsidR="00C02692" w:rsidRDefault="00C02692">
      <w:pPr>
        <w:numPr>
          <w:ilvl w:val="0"/>
          <w:numId w:val="18"/>
        </w:numPr>
        <w:tabs>
          <w:tab w:val="clear" w:pos="360"/>
          <w:tab w:val="num" w:pos="420"/>
        </w:tabs>
        <w:ind w:left="420"/>
        <w:rPr>
          <w:rFonts w:ascii="TmsRmn" w:hAnsi="TmsRmn"/>
          <w:b/>
          <w:color w:val="000000"/>
        </w:rPr>
      </w:pPr>
      <w:r>
        <w:rPr>
          <w:rFonts w:ascii="TmsRmn" w:hAnsi="TmsRmn"/>
          <w:b/>
          <w:color w:val="000000"/>
        </w:rPr>
        <w:t>One-time Room Requests</w:t>
      </w:r>
    </w:p>
    <w:p w:rsidR="00C02692" w:rsidRDefault="00C02692">
      <w:pPr>
        <w:numPr>
          <w:ilvl w:val="0"/>
          <w:numId w:val="18"/>
        </w:numPr>
        <w:tabs>
          <w:tab w:val="clear" w:pos="360"/>
          <w:tab w:val="num" w:pos="780"/>
        </w:tabs>
        <w:ind w:left="78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Fulfill departmental requests for one-time use of rooms (i.e., a room request for a review session)</w:t>
      </w:r>
    </w:p>
    <w:p w:rsidR="00C02692" w:rsidRDefault="00C02692">
      <w:pPr>
        <w:rPr>
          <w:rFonts w:ascii="TmsRmn" w:hAnsi="TmsRmn"/>
          <w:b/>
          <w:color w:val="000000"/>
        </w:rPr>
      </w:pPr>
    </w:p>
    <w:p w:rsidR="00C02692" w:rsidRDefault="00C02692">
      <w:pPr>
        <w:numPr>
          <w:ilvl w:val="0"/>
          <w:numId w:val="19"/>
        </w:numPr>
        <w:rPr>
          <w:rFonts w:ascii="TmsRmn" w:hAnsi="TmsRmn"/>
          <w:b/>
          <w:color w:val="000000"/>
        </w:rPr>
      </w:pPr>
      <w:r>
        <w:rPr>
          <w:rFonts w:ascii="TmsRmn" w:hAnsi="TmsRmn"/>
          <w:b/>
          <w:color w:val="000000"/>
        </w:rPr>
        <w:t>Departmental IRAL (Instructional Resources Audit List)</w:t>
      </w:r>
    </w:p>
    <w:p w:rsidR="00C02692" w:rsidRDefault="00C02692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Updated by departments and maintained by the Office of the Registrar.</w:t>
      </w:r>
    </w:p>
    <w:p w:rsidR="00C02692" w:rsidRDefault="00C02692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>Completed quarterly IRAL data submitted to Budget and Planning.</w:t>
      </w:r>
    </w:p>
    <w:p w:rsidR="00C02692" w:rsidRDefault="00C02692">
      <w:pPr>
        <w:rPr>
          <w:rFonts w:ascii="TmsRmn" w:hAnsi="TmsRmn"/>
          <w:b/>
          <w:color w:val="000000"/>
        </w:rPr>
      </w:pPr>
    </w:p>
    <w:p w:rsidR="00C02692" w:rsidRDefault="00C02692">
      <w:pPr>
        <w:rPr>
          <w:rFonts w:ascii="TmsRmn" w:hAnsi="TmsRmn"/>
          <w:b/>
          <w:color w:val="000000"/>
        </w:rPr>
      </w:pPr>
    </w:p>
    <w:p w:rsidR="00C02692" w:rsidRDefault="00C02692">
      <w:pPr>
        <w:rPr>
          <w:rFonts w:ascii="TmsRmn" w:hAnsi="TmsRmn"/>
          <w:b/>
          <w:color w:val="000000"/>
        </w:rPr>
      </w:pPr>
      <w:r>
        <w:rPr>
          <w:rFonts w:ascii="TmsRmn" w:hAnsi="TmsRmn"/>
          <w:b/>
          <w:color w:val="000000"/>
        </w:rPr>
        <w:t>Publications Unit</w:t>
      </w:r>
    </w:p>
    <w:p w:rsidR="00C02692" w:rsidRDefault="00C02692">
      <w:pPr>
        <w:numPr>
          <w:ilvl w:val="0"/>
          <w:numId w:val="4"/>
        </w:numPr>
        <w:rPr>
          <w:rFonts w:ascii="TmsRmn" w:hAnsi="TmsRmn"/>
          <w:color w:val="000000"/>
        </w:rPr>
      </w:pPr>
      <w:r>
        <w:rPr>
          <w:rFonts w:ascii="TmsRmn" w:hAnsi="TmsRmn"/>
          <w:b/>
          <w:color w:val="000000"/>
        </w:rPr>
        <w:t>Course Requests</w:t>
      </w:r>
      <w:r>
        <w:rPr>
          <w:rFonts w:ascii="TmsRmn" w:hAnsi="TmsRmn"/>
          <w:color w:val="000000"/>
        </w:rPr>
        <w:t xml:space="preserve"> (also known as </w:t>
      </w:r>
      <w:r>
        <w:rPr>
          <w:rFonts w:ascii="TmsRmn" w:hAnsi="TmsRmn"/>
          <w:b/>
          <w:color w:val="000000"/>
        </w:rPr>
        <w:t>Master Course Approvals (MCA)</w:t>
      </w:r>
      <w:r>
        <w:rPr>
          <w:rFonts w:ascii="TmsRmn" w:hAnsi="TmsRmn"/>
          <w:color w:val="000000"/>
        </w:rPr>
        <w:t>)</w:t>
      </w:r>
    </w:p>
    <w:p w:rsidR="00C02692" w:rsidRDefault="00C02692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msRmn" w:hAnsi="TmsRmn"/>
          <w:color w:val="000000"/>
        </w:rPr>
      </w:pPr>
      <w:r>
        <w:rPr>
          <w:rFonts w:ascii="TmsRmn" w:hAnsi="TmsRmn"/>
          <w:color w:val="000000"/>
        </w:rPr>
        <w:t xml:space="preserve">How to </w:t>
      </w:r>
      <w:r w:rsidR="00917463">
        <w:rPr>
          <w:rFonts w:ascii="TmsRmn" w:hAnsi="TmsRmn"/>
          <w:color w:val="000000"/>
        </w:rPr>
        <w:t>online Master Course Approval system properly</w:t>
      </w:r>
      <w:r>
        <w:rPr>
          <w:rFonts w:ascii="TmsRmn" w:hAnsi="TmsRmn"/>
          <w:color w:val="000000"/>
        </w:rPr>
        <w:t>.</w:t>
      </w:r>
    </w:p>
    <w:p w:rsidR="00C02692" w:rsidRDefault="00C0269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msRmn" w:hAnsi="TmsRmn"/>
          <w:color w:val="000000"/>
        </w:rPr>
      </w:pPr>
      <w:r>
        <w:rPr>
          <w:rFonts w:ascii="TmsRmn" w:hAnsi="TmsRmn"/>
          <w:color w:val="000000"/>
        </w:rPr>
        <w:t>Individuals &amp; Committees responsible for approval (and associated timelines).</w:t>
      </w:r>
    </w:p>
    <w:p w:rsidR="00C02692" w:rsidRDefault="00C02692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msRmn" w:hAnsi="TmsRmn"/>
          <w:color w:val="000000"/>
        </w:rPr>
      </w:pPr>
      <w:r>
        <w:rPr>
          <w:rFonts w:ascii="TmsRmn" w:hAnsi="TmsRmn"/>
          <w:color w:val="000000"/>
        </w:rPr>
        <w:t xml:space="preserve">Deadlines for inclusion in </w:t>
      </w:r>
      <w:r w:rsidR="00917463">
        <w:rPr>
          <w:rFonts w:ascii="TmsRmn" w:hAnsi="TmsRmn"/>
          <w:color w:val="000000"/>
        </w:rPr>
        <w:t>a given quarter</w:t>
      </w:r>
      <w:r>
        <w:rPr>
          <w:rFonts w:ascii="TmsRmn" w:hAnsi="TmsRmn"/>
          <w:color w:val="000000"/>
        </w:rPr>
        <w:t>.</w:t>
      </w:r>
    </w:p>
    <w:p w:rsidR="00C02692" w:rsidRDefault="00C02692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msRmn" w:hAnsi="TmsRmn"/>
          <w:color w:val="000000"/>
        </w:rPr>
      </w:pPr>
      <w:r>
        <w:rPr>
          <w:rFonts w:ascii="TmsRmn" w:hAnsi="TmsRmn"/>
          <w:color w:val="000000"/>
        </w:rPr>
        <w:t xml:space="preserve">Deadline for inclusion in </w:t>
      </w:r>
      <w:r>
        <w:rPr>
          <w:rFonts w:ascii="TmsRmn" w:hAnsi="TmsRmn"/>
          <w:i/>
          <w:color w:val="000000"/>
        </w:rPr>
        <w:t>General Catalog</w:t>
      </w:r>
      <w:r>
        <w:rPr>
          <w:rFonts w:ascii="TmsRmn" w:hAnsi="TmsRmn"/>
          <w:color w:val="000000"/>
        </w:rPr>
        <w:t xml:space="preserve"> publication.</w:t>
      </w:r>
    </w:p>
    <w:p w:rsidR="00C02692" w:rsidRDefault="00C02692">
      <w:pPr>
        <w:rPr>
          <w:rFonts w:ascii="TmsRmn" w:hAnsi="TmsRmn"/>
          <w:color w:val="000000"/>
        </w:rPr>
      </w:pPr>
    </w:p>
    <w:p w:rsidR="00C02692" w:rsidRDefault="00C02692">
      <w:pPr>
        <w:numPr>
          <w:ilvl w:val="0"/>
          <w:numId w:val="11"/>
        </w:numPr>
        <w:rPr>
          <w:rFonts w:ascii="TmsRmn" w:hAnsi="TmsRmn"/>
          <w:b/>
          <w:color w:val="000000"/>
        </w:rPr>
      </w:pPr>
      <w:r>
        <w:rPr>
          <w:rFonts w:ascii="TmsRmn" w:hAnsi="TmsRmn"/>
          <w:color w:val="000000"/>
        </w:rPr>
        <w:t xml:space="preserve">Publications' </w:t>
      </w:r>
      <w:r>
        <w:rPr>
          <w:rFonts w:ascii="TmsRmn" w:hAnsi="TmsRmn"/>
          <w:b/>
          <w:color w:val="000000"/>
        </w:rPr>
        <w:t>Call for Copy</w:t>
      </w:r>
    </w:p>
    <w:p w:rsidR="00C02692" w:rsidRDefault="00C0269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TmsRmn" w:hAnsi="TmsRmn"/>
          <w:color w:val="000000"/>
        </w:rPr>
      </w:pPr>
      <w:r>
        <w:rPr>
          <w:rFonts w:ascii="TmsRmn" w:hAnsi="TmsRmn"/>
          <w:color w:val="000000"/>
        </w:rPr>
        <w:t xml:space="preserve">Responding to </w:t>
      </w:r>
      <w:r>
        <w:rPr>
          <w:rFonts w:ascii="TmsRmn" w:hAnsi="TmsRmn"/>
          <w:i/>
          <w:color w:val="000000"/>
        </w:rPr>
        <w:t xml:space="preserve">General Catalog </w:t>
      </w:r>
      <w:r>
        <w:rPr>
          <w:rFonts w:ascii="TmsRmn" w:hAnsi="TmsRmn"/>
          <w:color w:val="000000"/>
        </w:rPr>
        <w:t xml:space="preserve">Call for Copy (i.e., request for updated text in next year's </w:t>
      </w:r>
      <w:r>
        <w:rPr>
          <w:rFonts w:ascii="TmsRmn" w:hAnsi="TmsRmn"/>
          <w:i/>
          <w:color w:val="000000"/>
        </w:rPr>
        <w:t>General Catalog</w:t>
      </w:r>
      <w:r>
        <w:rPr>
          <w:rFonts w:ascii="TmsRmn" w:hAnsi="TmsRmn"/>
          <w:color w:val="000000"/>
        </w:rPr>
        <w:t>)</w:t>
      </w:r>
    </w:p>
    <w:p w:rsidR="00C02692" w:rsidRDefault="00C02692">
      <w:pPr>
        <w:rPr>
          <w:rFonts w:ascii="TmsRmn" w:hAnsi="TmsRmn"/>
          <w:color w:val="000000"/>
        </w:rPr>
      </w:pPr>
    </w:p>
    <w:p w:rsidR="00C02692" w:rsidRDefault="00C02692"/>
    <w:sectPr w:rsidR="00C02692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D3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D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146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8A0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092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6220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014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FA3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E470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AA878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0C16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707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C22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405C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4C2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935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014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FC92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2"/>
  </w:num>
  <w:num w:numId="13">
    <w:abstractNumId w:val="18"/>
  </w:num>
  <w:num w:numId="14">
    <w:abstractNumId w:val="5"/>
  </w:num>
  <w:num w:numId="15">
    <w:abstractNumId w:val="13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499"/>
    <w:rsid w:val="000623C7"/>
    <w:rsid w:val="00917463"/>
    <w:rsid w:val="00985499"/>
    <w:rsid w:val="00C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811A-AC71-417A-9D68-0865BEE6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Important Items That Advisors Should Know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Important Items That Advisors Should Know</dc:title>
  <dc:subject/>
  <dc:creator>Yung Nguyen</dc:creator>
  <cp:keywords/>
  <cp:lastModifiedBy>Sean Woods</cp:lastModifiedBy>
  <cp:revision>2</cp:revision>
  <cp:lastPrinted>2000-03-02T16:13:00Z</cp:lastPrinted>
  <dcterms:created xsi:type="dcterms:W3CDTF">2013-10-16T21:37:00Z</dcterms:created>
  <dcterms:modified xsi:type="dcterms:W3CDTF">2013-10-16T21:37:00Z</dcterms:modified>
</cp:coreProperties>
</file>